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59" w:rsidRDefault="00B72F59" w:rsidP="00B72F59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544"/>
      </w:tblGrid>
      <w:tr w:rsidR="004122DA" w:rsidRPr="004122DA" w:rsidTr="004122DA">
        <w:trPr>
          <w:trHeight w:val="310"/>
          <w:jc w:val="center"/>
        </w:trPr>
        <w:tc>
          <w:tcPr>
            <w:tcW w:w="9544" w:type="dxa"/>
            <w:vAlign w:val="center"/>
            <w:hideMark/>
          </w:tcPr>
          <w:p w:rsidR="004122DA" w:rsidRPr="004122DA" w:rsidRDefault="004122D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22DA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72745" cy="431800"/>
                  <wp:effectExtent l="19050" t="0" r="8255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2DA">
              <w:rPr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516255" cy="338455"/>
                  <wp:effectExtent l="19050" t="0" r="0" b="0"/>
                  <wp:docPr id="2" name="Immagine 1" descr="BandiC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2DA" w:rsidRPr="004122DA" w:rsidRDefault="004122DA" w:rsidP="004122DA">
      <w:pPr>
        <w:jc w:val="center"/>
        <w:rPr>
          <w:rFonts w:ascii="Bookman Old Style" w:eastAsia="Times New Roman" w:hAnsi="Bookman Old Style"/>
          <w:sz w:val="16"/>
          <w:szCs w:val="16"/>
        </w:rPr>
      </w:pPr>
    </w:p>
    <w:p w:rsidR="004122DA" w:rsidRPr="004122DA" w:rsidRDefault="004122DA" w:rsidP="004122DA">
      <w:pPr>
        <w:jc w:val="center"/>
        <w:rPr>
          <w:rFonts w:ascii="Bookman Old Style" w:hAnsi="Bookman Old Style"/>
          <w:b/>
          <w:sz w:val="16"/>
          <w:szCs w:val="16"/>
        </w:rPr>
      </w:pPr>
      <w:r w:rsidRPr="004122DA">
        <w:rPr>
          <w:rFonts w:ascii="Bookman Old Style" w:hAnsi="Bookman Old Style"/>
          <w:b/>
          <w:sz w:val="16"/>
          <w:szCs w:val="16"/>
        </w:rPr>
        <w:t>LICEO SCIENTIFICO STATALE “ FRANCESCO SEVERI”</w:t>
      </w:r>
    </w:p>
    <w:p w:rsidR="004122DA" w:rsidRPr="004122DA" w:rsidRDefault="004122DA" w:rsidP="004122DA">
      <w:pPr>
        <w:jc w:val="center"/>
        <w:rPr>
          <w:rFonts w:ascii="Bookman Old Style" w:hAnsi="Bookman Old Style"/>
          <w:b/>
          <w:sz w:val="16"/>
          <w:szCs w:val="16"/>
        </w:rPr>
      </w:pPr>
      <w:r w:rsidRPr="004122DA">
        <w:rPr>
          <w:rFonts w:ascii="Bookman Old Style" w:hAnsi="Bookman Old Style"/>
          <w:b/>
          <w:sz w:val="16"/>
          <w:szCs w:val="16"/>
        </w:rPr>
        <w:t>Liceo Scientifico di Ordinamento - Liceo Scientifico Scienze Applicate- Liceo Linguistico</w:t>
      </w:r>
    </w:p>
    <w:p w:rsidR="004122DA" w:rsidRPr="004122DA" w:rsidRDefault="004122DA" w:rsidP="004122DA">
      <w:pPr>
        <w:jc w:val="center"/>
        <w:rPr>
          <w:rFonts w:ascii="Bookman Old Style" w:hAnsi="Bookman Old Style"/>
          <w:b/>
          <w:sz w:val="16"/>
          <w:szCs w:val="16"/>
        </w:rPr>
      </w:pPr>
      <w:r w:rsidRPr="004122DA">
        <w:rPr>
          <w:rFonts w:ascii="Bookman Old Style" w:hAnsi="Bookman Old Style"/>
          <w:b/>
          <w:sz w:val="16"/>
          <w:szCs w:val="16"/>
        </w:rPr>
        <w:t>Liceo Musicale</w:t>
      </w:r>
    </w:p>
    <w:p w:rsidR="004122DA" w:rsidRPr="004122DA" w:rsidRDefault="004122DA" w:rsidP="004122DA">
      <w:pPr>
        <w:jc w:val="center"/>
        <w:rPr>
          <w:rFonts w:ascii="Bookman Old Style" w:hAnsi="Bookman Old Style"/>
          <w:sz w:val="16"/>
          <w:szCs w:val="16"/>
        </w:rPr>
      </w:pPr>
      <w:r w:rsidRPr="004122DA">
        <w:rPr>
          <w:rFonts w:ascii="Bookman Old Style" w:hAnsi="Bookman Old Style"/>
          <w:sz w:val="16"/>
          <w:szCs w:val="16"/>
        </w:rPr>
        <w:t>Viale L. D’Orsi, 5 – 80053 Castellammare di Stabia (NA)</w:t>
      </w:r>
    </w:p>
    <w:p w:rsidR="004122DA" w:rsidRPr="004122DA" w:rsidRDefault="004122DA" w:rsidP="004122DA">
      <w:pPr>
        <w:jc w:val="center"/>
        <w:rPr>
          <w:rFonts w:ascii="Bookman Old Style" w:hAnsi="Bookman Old Style"/>
          <w:sz w:val="16"/>
          <w:szCs w:val="16"/>
          <w:lang w:val="en-GB"/>
        </w:rPr>
      </w:pPr>
      <w:r w:rsidRPr="004122DA">
        <w:rPr>
          <w:rFonts w:ascii="Bookman Old Style" w:hAnsi="Bookman Old Style"/>
          <w:sz w:val="16"/>
          <w:szCs w:val="16"/>
          <w:lang w:val="en-GB"/>
        </w:rPr>
        <w:t>PBX 3</w:t>
      </w:r>
      <w:bookmarkStart w:id="0" w:name="_GoBack"/>
      <w:bookmarkEnd w:id="0"/>
      <w:r w:rsidRPr="004122DA">
        <w:rPr>
          <w:rFonts w:ascii="Bookman Old Style" w:hAnsi="Bookman Old Style"/>
          <w:sz w:val="16"/>
          <w:szCs w:val="16"/>
          <w:lang w:val="en-GB"/>
        </w:rPr>
        <w:t xml:space="preserve">linee Tel – 0818739745 – 0818713148 – 0818739752 </w:t>
      </w:r>
    </w:p>
    <w:p w:rsidR="004122DA" w:rsidRPr="004122DA" w:rsidRDefault="004122DA" w:rsidP="004122DA">
      <w:pPr>
        <w:ind w:firstLine="708"/>
        <w:jc w:val="center"/>
        <w:rPr>
          <w:rFonts w:ascii="Bookman Old Style" w:hAnsi="Bookman Old Style"/>
          <w:sz w:val="16"/>
          <w:szCs w:val="16"/>
          <w:lang w:val="en-GB"/>
        </w:rPr>
      </w:pPr>
      <w:r w:rsidRPr="004122DA">
        <w:rPr>
          <w:rFonts w:ascii="Bookman Old Style" w:hAnsi="Bookman Old Style"/>
          <w:sz w:val="16"/>
          <w:szCs w:val="16"/>
          <w:lang w:val="en-GB"/>
        </w:rPr>
        <w:t xml:space="preserve">CF   82011770631  - IBAN   IT 15 T 01030 22100 000000723277- </w:t>
      </w:r>
    </w:p>
    <w:p w:rsidR="004122DA" w:rsidRPr="004122DA" w:rsidRDefault="004122DA" w:rsidP="004122DA">
      <w:pPr>
        <w:ind w:left="1416" w:firstLine="708"/>
        <w:jc w:val="center"/>
        <w:rPr>
          <w:rFonts w:ascii="Bookman Old Style" w:hAnsi="Bookman Old Style"/>
          <w:b/>
          <w:sz w:val="16"/>
          <w:szCs w:val="16"/>
        </w:rPr>
      </w:pPr>
      <w:r w:rsidRPr="004122DA">
        <w:rPr>
          <w:rFonts w:ascii="Bookman Old Style" w:hAnsi="Bookman Old Style"/>
          <w:b/>
          <w:sz w:val="16"/>
          <w:szCs w:val="16"/>
        </w:rPr>
        <w:t>CONTO UNICO TESORERIA IT29K0100003245425300314138</w:t>
      </w:r>
    </w:p>
    <w:p w:rsidR="004122DA" w:rsidRPr="004122DA" w:rsidRDefault="00A3170A" w:rsidP="004122DA">
      <w:pPr>
        <w:jc w:val="center"/>
        <w:rPr>
          <w:rFonts w:ascii="Bookman Old Style" w:hAnsi="Bookman Old Style"/>
          <w:sz w:val="16"/>
          <w:szCs w:val="16"/>
        </w:rPr>
      </w:pPr>
      <w:hyperlink r:id="rId6" w:history="1">
        <w:r w:rsidR="004122DA" w:rsidRPr="004122DA">
          <w:rPr>
            <w:rStyle w:val="Collegamentoipertestuale"/>
            <w:rFonts w:ascii="Bookman Old Style" w:hAnsi="Bookman Old Style"/>
            <w:color w:val="auto"/>
            <w:sz w:val="16"/>
            <w:szCs w:val="16"/>
          </w:rPr>
          <w:t>NAPS110002@ISTRUZIONE.IT</w:t>
        </w:r>
      </w:hyperlink>
      <w:r w:rsidR="004122DA" w:rsidRPr="004122DA">
        <w:rPr>
          <w:rFonts w:ascii="Bookman Old Style" w:hAnsi="Bookman Old Style"/>
          <w:sz w:val="16"/>
          <w:szCs w:val="16"/>
        </w:rPr>
        <w:t xml:space="preserve"> – </w:t>
      </w:r>
      <w:hyperlink r:id="rId7" w:history="1">
        <w:r w:rsidR="004122DA" w:rsidRPr="004122DA">
          <w:rPr>
            <w:rStyle w:val="Collegamentoipertestuale"/>
            <w:rFonts w:ascii="Bookman Old Style" w:hAnsi="Bookman Old Style"/>
            <w:color w:val="auto"/>
            <w:sz w:val="16"/>
            <w:szCs w:val="16"/>
          </w:rPr>
          <w:t>NAPS110002@PEC.ISTRUZIONE.IT</w:t>
        </w:r>
      </w:hyperlink>
      <w:r w:rsidR="004122DA" w:rsidRPr="004122DA">
        <w:rPr>
          <w:rFonts w:ascii="Bookman Old Style" w:hAnsi="Bookman Old Style"/>
          <w:sz w:val="16"/>
          <w:szCs w:val="16"/>
        </w:rPr>
        <w:t xml:space="preserve"> –</w:t>
      </w:r>
    </w:p>
    <w:p w:rsidR="00B72F59" w:rsidRPr="00C34C76" w:rsidRDefault="00B72F59" w:rsidP="00B72F59">
      <w:pPr>
        <w:rPr>
          <w:szCs w:val="24"/>
        </w:rPr>
      </w:pPr>
    </w:p>
    <w:p w:rsidR="00B72F59" w:rsidRDefault="00B72F59" w:rsidP="00B72F59">
      <w:pPr>
        <w:jc w:val="center"/>
        <w:rPr>
          <w:szCs w:val="24"/>
        </w:rPr>
      </w:pPr>
      <w:r w:rsidRPr="00C34C76">
        <w:rPr>
          <w:szCs w:val="24"/>
        </w:rPr>
        <w:tab/>
      </w:r>
      <w:r w:rsidRPr="00C34C76">
        <w:rPr>
          <w:noProof/>
          <w:szCs w:val="24"/>
          <w:lang w:eastAsia="it-IT"/>
        </w:rPr>
        <w:drawing>
          <wp:inline distT="0" distB="0" distL="0" distR="0">
            <wp:extent cx="1212850" cy="1171562"/>
            <wp:effectExtent l="19050" t="0" r="6350" b="0"/>
            <wp:docPr id="1" name="Immagine 1" descr="Home - LS Sev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LS Seve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34" cy="117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DA" w:rsidRPr="00C34C76" w:rsidRDefault="004122DA" w:rsidP="004122DA">
      <w:pPr>
        <w:rPr>
          <w:szCs w:val="24"/>
        </w:rPr>
      </w:pPr>
      <w:proofErr w:type="spellStart"/>
      <w:r>
        <w:rPr>
          <w:szCs w:val="24"/>
        </w:rPr>
        <w:t>prot.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proofErr w:type="spellEnd"/>
      <w:r>
        <w:rPr>
          <w:szCs w:val="24"/>
        </w:rPr>
        <w:t>.................................................</w:t>
      </w:r>
    </w:p>
    <w:p w:rsidR="00B72F59" w:rsidRDefault="00B72F59" w:rsidP="00B72F59">
      <w:pPr>
        <w:jc w:val="center"/>
      </w:pPr>
    </w:p>
    <w:p w:rsidR="00B72F59" w:rsidRDefault="004122DA" w:rsidP="00B72F59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a.s.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2023/2024</w:t>
      </w:r>
      <w:r w:rsidR="00B72F5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2F59" w:rsidRDefault="00B72F59" w:rsidP="00B72F5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SCHEDA </w:t>
      </w:r>
      <w:r w:rsidRPr="007B41A7">
        <w:rPr>
          <w:rFonts w:ascii="Times New Roman" w:hAnsi="Times New Roman" w:cs="Times New Roman"/>
          <w:b/>
        </w:rPr>
        <w:t xml:space="preserve">ATTIVITÀ </w:t>
      </w:r>
      <w:proofErr w:type="spellStart"/>
      <w:r w:rsidRPr="007B41A7">
        <w:rPr>
          <w:rFonts w:ascii="Times New Roman" w:hAnsi="Times New Roman" w:cs="Times New Roman"/>
          <w:b/>
        </w:rPr>
        <w:t>DI</w:t>
      </w:r>
      <w:proofErr w:type="spellEnd"/>
      <w:r w:rsidRPr="007B41A7">
        <w:rPr>
          <w:rFonts w:ascii="Times New Roman" w:hAnsi="Times New Roman" w:cs="Times New Roman"/>
          <w:b/>
        </w:rPr>
        <w:t xml:space="preserve"> PROGETTO</w:t>
      </w:r>
      <w:r w:rsidR="004122DA">
        <w:rPr>
          <w:rFonts w:ascii="Times New Roman" w:hAnsi="Times New Roman" w:cs="Times New Roman"/>
          <w:b/>
        </w:rPr>
        <w:t xml:space="preserve">   </w:t>
      </w:r>
      <w:r w:rsidR="003C2714" w:rsidRPr="003C2714">
        <w:rPr>
          <w:rFonts w:ascii="Times New Roman" w:hAnsi="Times New Roman" w:cs="Times New Roman"/>
          <w:i/>
        </w:rPr>
        <w:t>(da utilizzare se il progetto è proposto da uno o più docenti</w:t>
      </w:r>
      <w:r w:rsidR="003C2714">
        <w:rPr>
          <w:rFonts w:ascii="Times New Roman" w:hAnsi="Times New Roman" w:cs="Times New Roman"/>
          <w:b/>
        </w:rPr>
        <w:t>)</w:t>
      </w:r>
    </w:p>
    <w:p w:rsidR="00B72F59" w:rsidRPr="002D2DD9" w:rsidRDefault="00B72F59" w:rsidP="004122DA">
      <w:pPr>
        <w:jc w:val="both"/>
        <w:rPr>
          <w:b/>
          <w:i/>
          <w:sz w:val="20"/>
          <w:szCs w:val="20"/>
        </w:rPr>
      </w:pPr>
      <w:r w:rsidRPr="002D2DD9">
        <w:rPr>
          <w:rFonts w:ascii="Times New Roman" w:hAnsi="Times New Roman" w:cs="Times New Roman"/>
          <w:i/>
          <w:sz w:val="20"/>
          <w:szCs w:val="20"/>
        </w:rPr>
        <w:t>Tutte le attività inserite n</w:t>
      </w:r>
      <w:r w:rsidR="004122DA">
        <w:rPr>
          <w:rFonts w:ascii="Times New Roman" w:hAnsi="Times New Roman" w:cs="Times New Roman"/>
          <w:i/>
          <w:sz w:val="20"/>
          <w:szCs w:val="20"/>
        </w:rPr>
        <w:t>ell’offerta formativa (PTOF 2023</w:t>
      </w:r>
      <w:r w:rsidRPr="002D2DD9">
        <w:rPr>
          <w:rFonts w:ascii="Times New Roman" w:hAnsi="Times New Roman" w:cs="Times New Roman"/>
          <w:i/>
          <w:sz w:val="20"/>
          <w:szCs w:val="20"/>
        </w:rPr>
        <w:t xml:space="preserve">-2025) del liceo “Severi”discendono  dalle priorità evidenziate nel RAV e dagli obiettivi del  Piano di Miglioramento. Esse,nell’ottica dell’autonomia scolastica 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(</w:t>
      </w:r>
      <w:r w:rsidRPr="002D2DD9">
        <w:rPr>
          <w:rFonts w:ascii="Times New Roman" w:hAnsi="Times New Roman" w:cs="Times New Roman"/>
          <w:bCs/>
          <w:i/>
          <w:color w:val="202124"/>
          <w:sz w:val="20"/>
          <w:szCs w:val="20"/>
          <w:shd w:val="clear" w:color="auto" w:fill="FFFFFF"/>
        </w:rPr>
        <w:t>art.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 </w:t>
      </w:r>
      <w:r w:rsidRPr="002D2DD9">
        <w:rPr>
          <w:rFonts w:ascii="Times New Roman" w:hAnsi="Times New Roman" w:cs="Times New Roman"/>
          <w:bCs/>
          <w:i/>
          <w:color w:val="202124"/>
          <w:sz w:val="20"/>
          <w:szCs w:val="20"/>
          <w:shd w:val="clear" w:color="auto" w:fill="FFFFFF"/>
        </w:rPr>
        <w:t>5 D.P.R.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 </w:t>
      </w:r>
      <w:r w:rsidRPr="002D2DD9">
        <w:rPr>
          <w:rFonts w:ascii="Times New Roman" w:hAnsi="Times New Roman" w:cs="Times New Roman"/>
          <w:bCs/>
          <w:i/>
          <w:color w:val="202124"/>
          <w:sz w:val="20"/>
          <w:szCs w:val="20"/>
          <w:shd w:val="clear" w:color="auto" w:fill="FFFFFF"/>
        </w:rPr>
        <w:t>n.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 </w:t>
      </w:r>
      <w:r w:rsidRPr="002D2DD9">
        <w:rPr>
          <w:rFonts w:ascii="Times New Roman" w:hAnsi="Times New Roman" w:cs="Times New Roman"/>
          <w:bCs/>
          <w:i/>
          <w:color w:val="202124"/>
          <w:sz w:val="20"/>
          <w:szCs w:val="20"/>
          <w:shd w:val="clear" w:color="auto" w:fill="FFFFFF"/>
        </w:rPr>
        <w:t>275/99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 xml:space="preserve">) intendono offrire una variegata scelta di attività integrative ai </w:t>
      </w:r>
      <w:proofErr w:type="spellStart"/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curricula</w:t>
      </w:r>
      <w:proofErr w:type="spellEnd"/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 xml:space="preserve"> ministeriali ma  ad essi strettamente connessi </w:t>
      </w:r>
      <w:r w:rsidR="00061BE2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 xml:space="preserve">al fine 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 xml:space="preserve"> di promuovere il successo scolastico di ogni studente </w:t>
      </w:r>
      <w:r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 xml:space="preserve">nonché la formazione di persone autonome, consapevoli 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e responsabil</w:t>
      </w:r>
      <w:r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i</w:t>
      </w:r>
      <w:r w:rsidRPr="002D2DD9">
        <w:rPr>
          <w:rFonts w:ascii="Arial" w:hAnsi="Arial" w:cs="Arial"/>
          <w:i/>
          <w:color w:val="202124"/>
          <w:sz w:val="20"/>
          <w:szCs w:val="20"/>
          <w:shd w:val="clear" w:color="auto" w:fill="FFFFFF"/>
        </w:rPr>
        <w:t>.</w:t>
      </w:r>
    </w:p>
    <w:p w:rsidR="00B608AE" w:rsidRPr="00B72F59" w:rsidRDefault="00B608AE" w:rsidP="00B72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59">
        <w:rPr>
          <w:rFonts w:ascii="Times New Roman" w:hAnsi="Times New Roman" w:cs="Times New Roman"/>
          <w:b/>
          <w:sz w:val="28"/>
          <w:szCs w:val="28"/>
        </w:rPr>
        <w:t xml:space="preserve">SCHEDA </w:t>
      </w:r>
      <w:proofErr w:type="spellStart"/>
      <w:r w:rsidRPr="00B72F59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B72F59">
        <w:rPr>
          <w:rFonts w:ascii="Times New Roman" w:hAnsi="Times New Roman" w:cs="Times New Roman"/>
          <w:b/>
          <w:sz w:val="28"/>
          <w:szCs w:val="28"/>
        </w:rPr>
        <w:t xml:space="preserve"> PROGETTO</w:t>
      </w:r>
    </w:p>
    <w:p w:rsidR="00B608AE" w:rsidRPr="00B72F59" w:rsidRDefault="00B608AE" w:rsidP="00600323">
      <w:pPr>
        <w:spacing w:after="0" w:line="360" w:lineRule="auto"/>
        <w:rPr>
          <w:b/>
        </w:rPr>
      </w:pPr>
      <w:r w:rsidRPr="00B72F59">
        <w:rPr>
          <w:b/>
        </w:rPr>
        <w:t xml:space="preserve">DIPARTIMENTO DI </w:t>
      </w:r>
    </w:p>
    <w:p w:rsidR="00B608AE" w:rsidRPr="00B72F59" w:rsidRDefault="00B608AE" w:rsidP="00600323">
      <w:pPr>
        <w:spacing w:after="0" w:line="360" w:lineRule="auto"/>
        <w:rPr>
          <w:b/>
        </w:rPr>
      </w:pPr>
      <w:r w:rsidRPr="00B72F59">
        <w:rPr>
          <w:b/>
        </w:rPr>
        <w:t xml:space="preserve">Anno scolastico </w:t>
      </w:r>
    </w:p>
    <w:p w:rsidR="00B608AE" w:rsidRPr="00B72F59" w:rsidRDefault="00B608AE" w:rsidP="00600323">
      <w:pPr>
        <w:spacing w:after="0" w:line="360" w:lineRule="auto"/>
        <w:rPr>
          <w:b/>
        </w:rPr>
      </w:pPr>
      <w:r w:rsidRPr="00B72F59">
        <w:rPr>
          <w:b/>
        </w:rPr>
        <w:t xml:space="preserve">Prof. </w:t>
      </w:r>
    </w:p>
    <w:tbl>
      <w:tblPr>
        <w:tblStyle w:val="Grigliatabella"/>
        <w:tblW w:w="5000" w:type="pct"/>
        <w:tblLook w:val="04A0"/>
      </w:tblPr>
      <w:tblGrid>
        <w:gridCol w:w="1951"/>
        <w:gridCol w:w="7903"/>
      </w:tblGrid>
      <w:tr w:rsidR="00B72F59" w:rsidTr="00D67B04">
        <w:trPr>
          <w:trHeight w:val="464"/>
        </w:trPr>
        <w:tc>
          <w:tcPr>
            <w:tcW w:w="990" w:type="pct"/>
          </w:tcPr>
          <w:p w:rsidR="00B72F59" w:rsidRPr="00A157B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enominazione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 w:line="60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2F59" w:rsidTr="00D67B04">
        <w:tc>
          <w:tcPr>
            <w:tcW w:w="990" w:type="pct"/>
          </w:tcPr>
          <w:p w:rsidR="00B72F59" w:rsidRPr="00A157B7" w:rsidRDefault="00B72F59" w:rsidP="00D67B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Finalità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 w:line="60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2F59" w:rsidTr="00D67B04">
        <w:trPr>
          <w:trHeight w:val="679"/>
        </w:trPr>
        <w:tc>
          <w:tcPr>
            <w:tcW w:w="990" w:type="pct"/>
          </w:tcPr>
          <w:p w:rsidR="00B72F59" w:rsidRPr="002634D3" w:rsidRDefault="00B72F59" w:rsidP="00D67B0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(specificare)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Recupero/consolidamento</w:t>
            </w:r>
          </w:p>
          <w:p w:rsidR="00B72F59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="00061BE2">
              <w:rPr>
                <w:rFonts w:ascii="Times New Roman" w:hAnsi="Times New Roman" w:cs="Times New Roman"/>
                <w:b/>
                <w:sz w:val="20"/>
                <w:szCs w:val="20"/>
              </w:rPr>
              <w:t>Potenziamento</w:t>
            </w:r>
          </w:p>
          <w:p w:rsidR="00B72F59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Ampliamento della proposta didattica curricolare</w:t>
            </w:r>
          </w:p>
          <w:p w:rsidR="00B72F59" w:rsidRPr="003810BF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(segnare con una X la voce che interessa)</w:t>
            </w:r>
          </w:p>
        </w:tc>
      </w:tr>
      <w:tr w:rsidR="00B72F59" w:rsidTr="00D67B04">
        <w:tc>
          <w:tcPr>
            <w:tcW w:w="990" w:type="pct"/>
          </w:tcPr>
          <w:p w:rsidR="00B72F59" w:rsidRPr="00947043" w:rsidRDefault="00B72F59" w:rsidP="00D67B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043">
              <w:rPr>
                <w:rFonts w:ascii="Times New Roman" w:hAnsi="Times New Roman" w:cs="Times New Roman"/>
                <w:b/>
                <w:sz w:val="18"/>
                <w:szCs w:val="18"/>
              </w:rPr>
              <w:t>Priorità a cui si riferisce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 w:line="10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(compilazione a cura della </w:t>
            </w:r>
            <w:proofErr w:type="spellStart"/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>F.S.</w:t>
            </w:r>
            <w:proofErr w:type="spellEnd"/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area1)</w:t>
            </w:r>
          </w:p>
          <w:p w:rsidR="00B72F59" w:rsidRPr="00A157B7" w:rsidRDefault="00B72F59" w:rsidP="00D67B04">
            <w:pPr>
              <w:spacing w:before="40" w:after="40" w:line="100" w:lineRule="atLeast"/>
              <w:jc w:val="both"/>
              <w:rPr>
                <w:i/>
                <w:sz w:val="20"/>
                <w:szCs w:val="20"/>
              </w:rPr>
            </w:pPr>
          </w:p>
        </w:tc>
      </w:tr>
      <w:tr w:rsidR="00B72F59" w:rsidTr="00D67B04">
        <w:tc>
          <w:tcPr>
            <w:tcW w:w="990" w:type="pct"/>
          </w:tcPr>
          <w:p w:rsidR="00B72F59" w:rsidRPr="00A157B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raguardo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/i </w:t>
            </w: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risultato </w:t>
            </w:r>
          </w:p>
        </w:tc>
        <w:tc>
          <w:tcPr>
            <w:tcW w:w="4010" w:type="pct"/>
          </w:tcPr>
          <w:p w:rsidR="00B72F59" w:rsidRPr="00A157B7" w:rsidRDefault="00B72F59" w:rsidP="00D67B04">
            <w:pPr>
              <w:spacing w:before="40" w:after="40" w:line="6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(compilazione a cura della </w:t>
            </w:r>
            <w:proofErr w:type="spellStart"/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>F.S.</w:t>
            </w:r>
            <w:proofErr w:type="spellEnd"/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area1)</w:t>
            </w:r>
          </w:p>
        </w:tc>
      </w:tr>
      <w:tr w:rsidR="00B72F59" w:rsidTr="00D67B04">
        <w:tc>
          <w:tcPr>
            <w:tcW w:w="990" w:type="pct"/>
          </w:tcPr>
          <w:p w:rsidR="00B72F59" w:rsidRPr="00A157B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 w:line="60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2F59" w:rsidTr="00D67B04">
        <w:tc>
          <w:tcPr>
            <w:tcW w:w="990" w:type="pct"/>
          </w:tcPr>
          <w:p w:rsidR="00B72F59" w:rsidRPr="00A157B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Competenze attese</w:t>
            </w:r>
          </w:p>
        </w:tc>
        <w:tc>
          <w:tcPr>
            <w:tcW w:w="4010" w:type="pct"/>
          </w:tcPr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alfabetica funzionale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ompetenza </w:t>
            </w:r>
            <w:proofErr w:type="spellStart"/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multilinguistica</w:t>
            </w:r>
            <w:proofErr w:type="spellEnd"/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matematica e competenza in scienze, tecnologie e ingegneria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digitale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personale, sociale e capacità di imparare a imparare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in materia di cittadinanza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imprenditoriale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in materia di consapevolezza ed espressione culturale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sz w:val="20"/>
                <w:szCs w:val="20"/>
              </w:rPr>
              <w:t>(da Raccomandazione europea 22 maggio 2018)</w:t>
            </w:r>
          </w:p>
          <w:p w:rsidR="00B72F59" w:rsidRPr="003810BF" w:rsidRDefault="00B72F59" w:rsidP="00D67B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(segnare con una X la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/le</w:t>
            </w: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voce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/i</w:t>
            </w: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 interessa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/no</w:t>
            </w: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72F59" w:rsidTr="00D67B04">
        <w:tc>
          <w:tcPr>
            <w:tcW w:w="990" w:type="pct"/>
          </w:tcPr>
          <w:p w:rsidR="00B72F59" w:rsidRPr="006D63C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Destinatari</w:t>
            </w:r>
          </w:p>
        </w:tc>
        <w:tc>
          <w:tcPr>
            <w:tcW w:w="4010" w:type="pct"/>
          </w:tcPr>
          <w:p w:rsidR="00B72F59" w:rsidRPr="006D63C7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anni di corso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</w:t>
            </w:r>
          </w:p>
          <w:p w:rsidR="00B72F59" w:rsidRPr="006D63C7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gruppi trasversali</w:t>
            </w:r>
          </w:p>
          <w:p w:rsidR="00B72F59" w:rsidRPr="006D63C7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gruppi di recupero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/potenziamento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eccellenze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(segnare con una X la voce che interessa)</w:t>
            </w:r>
          </w:p>
        </w:tc>
      </w:tr>
      <w:tr w:rsidR="00B72F59" w:rsidTr="00D67B04">
        <w:tc>
          <w:tcPr>
            <w:tcW w:w="990" w:type="pct"/>
          </w:tcPr>
          <w:p w:rsidR="00B72F59" w:rsidRPr="006D63C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Risorse professionali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DOCENTI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Ore potenziamento      □ Ore extracurricolari</w:t>
            </w:r>
            <w:r w:rsidR="00061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□ Ore curricolari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Altre risorse ( specificare) ________________________________________________________________________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F59" w:rsidRPr="006D63C7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(segnare con una X la voce che interessa)</w:t>
            </w:r>
          </w:p>
        </w:tc>
      </w:tr>
      <w:tr w:rsidR="00B72F59" w:rsidTr="00D67B04">
        <w:tc>
          <w:tcPr>
            <w:tcW w:w="990" w:type="pct"/>
          </w:tcPr>
          <w:p w:rsidR="00B72F59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Risorse materiali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SPAZI __________________________________________________________________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STRUMENTI______________________________________________________________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F59" w:rsidTr="00D67B04">
        <w:tc>
          <w:tcPr>
            <w:tcW w:w="990" w:type="pct"/>
          </w:tcPr>
          <w:p w:rsidR="00B72F59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Risorse finanziarie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F59" w:rsidTr="00D67B04">
        <w:tc>
          <w:tcPr>
            <w:tcW w:w="990" w:type="pct"/>
          </w:tcPr>
          <w:p w:rsidR="00B72F59" w:rsidRPr="00F618F4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8F4">
              <w:rPr>
                <w:rFonts w:ascii="Times New Roman" w:hAnsi="Times New Roman" w:cs="Times New Roman"/>
                <w:b/>
                <w:sz w:val="18"/>
                <w:szCs w:val="18"/>
              </w:rPr>
              <w:t>Indicatori di monitoraggio e valutazione</w:t>
            </w:r>
          </w:p>
        </w:tc>
        <w:tc>
          <w:tcPr>
            <w:tcW w:w="4010" w:type="pct"/>
          </w:tcPr>
          <w:p w:rsidR="004122DA" w:rsidRDefault="004122DA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verificare il livello di efficacia e gradimento del progetto si terrà conto dei seguenti criteri:</w:t>
            </w:r>
          </w:p>
          <w:p w:rsidR="00B72F59" w:rsidRPr="00947043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Livello di partecipazione all’attività</w:t>
            </w:r>
            <w:r w:rsidRPr="001A3E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3EE4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Pr="001A3EE4">
              <w:rPr>
                <w:rFonts w:ascii="Times New Roman" w:hAnsi="Times New Roman" w:cs="Times New Roman"/>
                <w:sz w:val="20"/>
                <w:szCs w:val="20"/>
              </w:rPr>
              <w:t xml:space="preserve"> dei partecipanti)</w:t>
            </w:r>
          </w:p>
          <w:p w:rsidR="00B72F59" w:rsidRPr="00947043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Livello di conoscenze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, abilità e competenze raggiunto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72F59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Grado di acquisizione della c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apacità di autovalutazione </w:t>
            </w:r>
            <w:r w:rsidRPr="00947043">
              <w:rPr>
                <w:b/>
              </w:rPr>
              <w:t>(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analisi del processo, del prodotto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riflessione-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ricostruzione da parte dello studente)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72F59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Livello di individuazione ed utilizzo autonomo di risorse interne ed esterne per la soluzione di compiti e problemi in modo efficace.</w:t>
            </w:r>
          </w:p>
          <w:p w:rsidR="00B72F59" w:rsidRPr="000B5E14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B5E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 i livelli si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farà riferimento ad una rubrica </w:t>
            </w:r>
            <w:r w:rsidRPr="000B5E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valutativa, a cura dei docenti interessati, che preveda opportuni descrittori per il LIVELLO BASE NON RAGGIUNTO, per il LIVELLO BASE, per il livello INTERMEDIO e per il LIVELLO AVANZATO). </w:t>
            </w:r>
          </w:p>
        </w:tc>
      </w:tr>
    </w:tbl>
    <w:p w:rsidR="00B72F59" w:rsidRPr="007B41A7" w:rsidRDefault="00B72F59" w:rsidP="00B72F59">
      <w:pPr>
        <w:rPr>
          <w:rFonts w:ascii="Times New Roman" w:hAnsi="Times New Roman" w:cs="Times New Roman"/>
          <w:b/>
        </w:rPr>
      </w:pPr>
    </w:p>
    <w:p w:rsidR="00B608AE" w:rsidRPr="00B608AE" w:rsidRDefault="00B72F59" w:rsidP="00B72F59">
      <w:pPr>
        <w:ind w:left="6372" w:firstLine="708"/>
      </w:pPr>
      <w:r>
        <w:t>FIRMA</w:t>
      </w:r>
    </w:p>
    <w:sectPr w:rsidR="00B608AE" w:rsidRPr="00B608AE" w:rsidSect="00D67B04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608AE"/>
    <w:rsid w:val="00061BE2"/>
    <w:rsid w:val="00074ABE"/>
    <w:rsid w:val="00176D38"/>
    <w:rsid w:val="002334C2"/>
    <w:rsid w:val="00317D02"/>
    <w:rsid w:val="003471A8"/>
    <w:rsid w:val="003C2714"/>
    <w:rsid w:val="004122DA"/>
    <w:rsid w:val="0045269D"/>
    <w:rsid w:val="004810FD"/>
    <w:rsid w:val="00523C2E"/>
    <w:rsid w:val="00600323"/>
    <w:rsid w:val="00710449"/>
    <w:rsid w:val="00744EB0"/>
    <w:rsid w:val="00952B62"/>
    <w:rsid w:val="00A3170A"/>
    <w:rsid w:val="00AA3F55"/>
    <w:rsid w:val="00B12E80"/>
    <w:rsid w:val="00B608AE"/>
    <w:rsid w:val="00B72F59"/>
    <w:rsid w:val="00B831B3"/>
    <w:rsid w:val="00C02364"/>
    <w:rsid w:val="00C93DE1"/>
    <w:rsid w:val="00D351F5"/>
    <w:rsid w:val="00D67B04"/>
    <w:rsid w:val="00E75DD1"/>
    <w:rsid w:val="00EB447C"/>
    <w:rsid w:val="00FA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2F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F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NAPS110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S110002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Scala</dc:creator>
  <cp:lastModifiedBy>Patrizia</cp:lastModifiedBy>
  <cp:revision>2</cp:revision>
  <dcterms:created xsi:type="dcterms:W3CDTF">2023-09-22T06:58:00Z</dcterms:created>
  <dcterms:modified xsi:type="dcterms:W3CDTF">2023-09-22T06:58:00Z</dcterms:modified>
</cp:coreProperties>
</file>